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E03" w:rsidRDefault="00EE7E03" w:rsidP="00EE7E03">
      <w:pPr>
        <w:jc w:val="center"/>
      </w:pPr>
      <w:r>
        <w:t>Лекция 5. Амплитудная модуляция</w:t>
      </w:r>
    </w:p>
    <w:p w:rsidR="00EE7E03" w:rsidRDefault="00EE7E03" w:rsidP="00EE7E03">
      <w:pPr>
        <w:jc w:val="center"/>
      </w:pPr>
    </w:p>
    <w:p w:rsidR="00EE7E03" w:rsidRDefault="00EE7E03" w:rsidP="00EE7E03">
      <w:pPr>
        <w:jc w:val="center"/>
      </w:pPr>
      <w:r>
        <w:t>Содержание лекции:</w:t>
      </w:r>
    </w:p>
    <w:p w:rsidR="00EE7E03" w:rsidRDefault="00EE7E03" w:rsidP="00EE7E03">
      <w:pPr>
        <w:jc w:val="center"/>
      </w:pPr>
      <w:r>
        <w:t>- амплитудно-модулированные колебания. Амплитудный модулятор.</w:t>
      </w:r>
    </w:p>
    <w:p w:rsidR="00EE7E03" w:rsidRDefault="00EE7E03" w:rsidP="00EE7E03">
      <w:pPr>
        <w:jc w:val="center"/>
      </w:pPr>
    </w:p>
    <w:p w:rsidR="00EE7E03" w:rsidRDefault="00EE7E03" w:rsidP="00EE7E03">
      <w:pPr>
        <w:jc w:val="center"/>
      </w:pPr>
      <w:r>
        <w:t>Цель лекции:</w:t>
      </w:r>
    </w:p>
    <w:p w:rsidR="00EE7E03" w:rsidRDefault="00EE7E03" w:rsidP="00EE7E03">
      <w:pPr>
        <w:jc w:val="center"/>
      </w:pPr>
      <w:r>
        <w:t>- изучение простейших видов модулированных сигналов. Получение амплитудно-модулированных сигналов.</w:t>
      </w:r>
    </w:p>
    <w:p w:rsidR="00EE7E03" w:rsidRDefault="00EE7E03" w:rsidP="00EE7E03">
      <w:pPr>
        <w:jc w:val="center"/>
      </w:pPr>
    </w:p>
    <w:p w:rsidR="00EE7E03" w:rsidRDefault="00EE7E03" w:rsidP="00EE7E03">
      <w:pPr>
        <w:jc w:val="center"/>
      </w:pPr>
      <w:r>
        <w:rPr>
          <w:i/>
          <w:iCs/>
        </w:rPr>
        <w:t>Амплитудная модуляция</w:t>
      </w:r>
      <w:r>
        <w:t xml:space="preserve"> состоит в пропорциональном первичному сигналу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изменении амплитуды переносчика </w:t>
      </w:r>
      <w:r>
        <w:rPr>
          <w:noProof/>
          <w:vertAlign w:val="subscript"/>
        </w:rPr>
        <w:drawing>
          <wp:inline distT="0" distB="0" distL="0" distR="0" wp14:anchorId="539E50DD" wp14:editId="7B911948">
            <wp:extent cx="1104900" cy="228600"/>
            <wp:effectExtent l="0" t="0" r="0" b="0"/>
            <wp:docPr id="1" name="Picture 1" descr="C:\Users\Василий\Desktop\Нов лек ТЭС\Лекции ТЭС последние\ГЛАВА 2_files\image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 descr="C:\Users\Василий\Desktop\Нов лек ТЭС\Лекции ТЭС последние\ГЛАВА 2_files\image094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</w:p>
    <w:p w:rsidR="00EE7E03" w:rsidRDefault="00EE7E03" w:rsidP="00EE7E03">
      <w:pPr>
        <w:jc w:val="center"/>
      </w:pPr>
      <w:r>
        <w:t xml:space="preserve">В простейшем случае гармонического сигнала </w:t>
      </w:r>
      <w:r>
        <w:rPr>
          <w:noProof/>
          <w:vertAlign w:val="subscript"/>
        </w:rPr>
        <w:drawing>
          <wp:inline distT="0" distB="0" distL="0" distR="0" wp14:anchorId="0883C7AF" wp14:editId="42904709">
            <wp:extent cx="981075" cy="200025"/>
            <wp:effectExtent l="0" t="0" r="9525" b="9525"/>
            <wp:docPr id="2" name="Picture 2" descr="C:\Users\Василий\Desktop\Нов лек ТЭС\Лекции ТЭС последние\ГЛАВА 2_files\image0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" descr="C:\Users\Василий\Desktop\Нов лек ТЭС\Лекции ТЭС последние\ГЛАВА 2_files\image095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амплитуда</w:t>
      </w:r>
    </w:p>
    <w:p w:rsidR="00EE7E03" w:rsidRDefault="00EE7E03" w:rsidP="00EE7E03">
      <w:pPr>
        <w:jc w:val="center"/>
      </w:pPr>
      <w:r>
        <w:rPr>
          <w:noProof/>
          <w:vertAlign w:val="subscript"/>
        </w:rPr>
        <w:drawing>
          <wp:inline distT="0" distB="0" distL="0" distR="0" wp14:anchorId="34020288" wp14:editId="4C27E237">
            <wp:extent cx="1409700" cy="228600"/>
            <wp:effectExtent l="0" t="0" r="0" b="0"/>
            <wp:docPr id="3" name="Picture 3" descr="C:\Users\Василий\Desktop\Нов лек ТЭС\Лекции ТЭС последние\ГЛАВА 2_files\image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9" descr="C:\Users\Василий\Desktop\Нов лек ТЭС\Лекции ТЭС последние\ГЛАВА 2_files\image096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(5.1)</w:t>
      </w:r>
    </w:p>
    <w:p w:rsidR="00EE7E03" w:rsidRDefault="00EE7E03" w:rsidP="00EE7E03">
      <w:pPr>
        <w:jc w:val="center"/>
      </w:pPr>
      <w:r>
        <w:t>В результате имеем АМ колебание</w:t>
      </w:r>
    </w:p>
    <w:p w:rsidR="00EE7E03" w:rsidRDefault="00EE7E03" w:rsidP="00EE7E03">
      <w:pPr>
        <w:jc w:val="center"/>
      </w:pPr>
      <w:r>
        <w:rPr>
          <w:noProof/>
          <w:vertAlign w:val="subscript"/>
        </w:rPr>
        <w:drawing>
          <wp:inline distT="0" distB="0" distL="0" distR="0" wp14:anchorId="311E2469" wp14:editId="6C678E1C">
            <wp:extent cx="2324100" cy="228600"/>
            <wp:effectExtent l="0" t="0" r="0" b="0"/>
            <wp:docPr id="4" name="Picture 4" descr="C:\Users\Василий\Desktop\Нов лек ТЭС\Лекции ТЭС последние\ГЛАВА 2_files\image0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 descr="C:\Users\Василий\Desktop\Нов лек ТЭС\Лекции ТЭС последние\ГЛАВА 2_files\image097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 (5.2)</w:t>
      </w:r>
    </w:p>
    <w:tbl>
      <w:tblPr>
        <w:tblW w:w="0" w:type="auto"/>
        <w:jc w:val="center"/>
        <w:tblCellSpacing w:w="0" w:type="dxa"/>
        <w:tblInd w:w="54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0"/>
      </w:tblGrid>
      <w:tr w:rsidR="00EE7E03" w:rsidTr="00697FD0">
        <w:trPr>
          <w:trHeight w:val="600"/>
          <w:tblCellSpacing w:w="0" w:type="dxa"/>
          <w:jc w:val="center"/>
        </w:trPr>
        <w:tc>
          <w:tcPr>
            <w:tcW w:w="2400" w:type="dxa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0"/>
            </w:tblGrid>
            <w:tr w:rsidR="00EE7E03" w:rsidTr="00697FD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EE7E03" w:rsidRDefault="00EE7E03" w:rsidP="00697FD0">
                  <w:pPr>
                    <w:jc w:val="center"/>
                  </w:pPr>
                  <w:r>
                    <w:t>Рисунок 5.2</w:t>
                  </w:r>
                </w:p>
              </w:tc>
            </w:tr>
          </w:tbl>
          <w:p w:rsidR="00EE7E03" w:rsidRDefault="00EE7E03" w:rsidP="00697FD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</w:tbl>
    <w:p w:rsidR="00EE7E03" w:rsidRDefault="00EE7E03" w:rsidP="00EE7E03">
      <w:pPr>
        <w:jc w:val="center"/>
      </w:pPr>
      <w:r>
        <w:rPr>
          <w:noProof/>
        </w:rPr>
        <w:drawing>
          <wp:inline distT="0" distB="0" distL="0" distR="0" wp14:anchorId="00ADB684" wp14:editId="233F9772">
            <wp:extent cx="4505325" cy="3105150"/>
            <wp:effectExtent l="0" t="0" r="9525" b="0"/>
            <wp:docPr id="5" name="Picture 5" descr="C:\Users\Василий\Desktop\Нов лек ТЭС\Лекции ТЭС последние\ГЛАВА 2_files\image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 descr="C:\Users\Василий\Desktop\Нов лек ТЭС\Лекции ТЭС последние\ГЛАВА 2_files\image098.jpg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E03" w:rsidRDefault="00EE7E03" w:rsidP="00EE7E03">
      <w:pPr>
        <w:jc w:val="center"/>
      </w:pPr>
      <w:r>
        <w:t>Рисунок 5.1</w:t>
      </w:r>
    </w:p>
    <w:p w:rsidR="00EE7E03" w:rsidRDefault="00EE7E03" w:rsidP="00EE7E03">
      <w:pPr>
        <w:jc w:val="center"/>
      </w:pPr>
      <w:r>
        <w:t xml:space="preserve">На рисунке 5.1 изображены графики колебаний </w:t>
      </w:r>
      <w:r>
        <w:rPr>
          <w:noProof/>
          <w:vertAlign w:val="subscript"/>
        </w:rPr>
        <w:drawing>
          <wp:inline distT="0" distB="0" distL="0" distR="0" wp14:anchorId="59A1B60F" wp14:editId="2BD24FA4">
            <wp:extent cx="838200" cy="219075"/>
            <wp:effectExtent l="0" t="0" r="0" b="9525"/>
            <wp:docPr id="6" name="Picture 6" descr="C:\Users\Василий\Desktop\Нов лек ТЭС\Лекции ТЭС последние\ГЛАВА 2_files\image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" descr="C:\Users\Василий\Desktop\Нов лек ТЭС\Лекции ТЭС последние\ГЛАВА 2_files\image099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Огибающая АМ колебания соответствует выражению (5.1) Максимальное отклонение амплитуды </w:t>
      </w:r>
      <w:r>
        <w:rPr>
          <w:noProof/>
          <w:vertAlign w:val="subscript"/>
        </w:rPr>
        <w:drawing>
          <wp:inline distT="0" distB="0" distL="0" distR="0" wp14:anchorId="3E461986" wp14:editId="224E0671">
            <wp:extent cx="314325" cy="219075"/>
            <wp:effectExtent l="0" t="0" r="9525" b="9525"/>
            <wp:docPr id="7" name="Picture 7" descr="C:\Users\Василий\Desktop\Нов лек ТЭС\Лекции ТЭС последние\ГЛАВА 2_files\image1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 descr="C:\Users\Василий\Desktop\Нов лек ТЭС\Лекции ТЭС последние\ГЛАВА 2_files\image100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от </w:t>
      </w:r>
      <w:r>
        <w:rPr>
          <w:noProof/>
          <w:vertAlign w:val="subscript"/>
        </w:rPr>
        <w:drawing>
          <wp:inline distT="0" distB="0" distL="0" distR="0" wp14:anchorId="2659F1F2" wp14:editId="63A3A309">
            <wp:extent cx="200025" cy="228600"/>
            <wp:effectExtent l="0" t="0" r="9525" b="0"/>
            <wp:docPr id="8" name="Picture 8" descr="C:\Users\Василий\Desktop\Нов лек ТЭС\Лекции ТЭС последние\ГЛАВА 2_files\image1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 descr="C:\Users\Василий\Desktop\Нов лек ТЭС\Лекции ТЭС последние\ГЛАВА 2_files\image101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представляет амплитуду огибающей </w:t>
      </w:r>
      <w:r>
        <w:rPr>
          <w:noProof/>
          <w:vertAlign w:val="subscript"/>
        </w:rPr>
        <w:drawing>
          <wp:inline distT="0" distB="0" distL="0" distR="0" wp14:anchorId="17B26D1C" wp14:editId="331080AC">
            <wp:extent cx="228600" cy="219075"/>
            <wp:effectExtent l="0" t="0" r="0" b="9525"/>
            <wp:docPr id="9" name="Picture 9" descr="C:\Users\Василий\Desktop\Нов лек ТЭС\Лекции ТЭС последние\ГЛАВА 2_files\image1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 descr="C:\Users\Василий\Desktop\Нов лек ТЭС\Лекции ТЭС последние\ГЛАВА 2_files\image102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; согласно (5.1) </w:t>
      </w:r>
      <w:r>
        <w:rPr>
          <w:noProof/>
          <w:vertAlign w:val="subscript"/>
        </w:rPr>
        <w:drawing>
          <wp:inline distT="0" distB="0" distL="0" distR="0" wp14:anchorId="1B25147D" wp14:editId="788FB641">
            <wp:extent cx="609600" cy="219075"/>
            <wp:effectExtent l="0" t="0" r="0" b="9525"/>
            <wp:docPr id="10" name="Picture 10" descr="C:\Users\Василий\Desktop\Нов лек ТЭС\Лекции ТЭС последние\ГЛАВА 2_files\image1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 descr="C:\Users\Василий\Desktop\Нов лек ТЭС\Лекции ТЭС последние\ГЛАВА 2_files\image103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. Отношение амплитуды огибающей к амплитуде несущего (немодулированного), колебания называется </w:t>
      </w:r>
      <w:r>
        <w:rPr>
          <w:i/>
          <w:iCs/>
        </w:rPr>
        <w:t>коэффициентом модуляции</w:t>
      </w:r>
    </w:p>
    <w:p w:rsidR="00EE7E03" w:rsidRDefault="00EE7E03" w:rsidP="00EE7E03">
      <w:pPr>
        <w:jc w:val="center"/>
      </w:pPr>
      <w:r>
        <w:rPr>
          <w:noProof/>
          <w:vertAlign w:val="subscript"/>
        </w:rPr>
        <w:drawing>
          <wp:inline distT="0" distB="0" distL="0" distR="0" wp14:anchorId="3C4FDA51" wp14:editId="5E773542">
            <wp:extent cx="762000" cy="228600"/>
            <wp:effectExtent l="0" t="0" r="0" b="0"/>
            <wp:docPr id="11" name="Picture 11" descr="C:\Users\Василий\Desktop\Нов лек ТЭС\Лекции ТЭС последние\ГЛАВА 2_files\image1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 descr="C:\Users\Василий\Desktop\Нов лек ТЭС\Лекции ТЭС последние\ГЛАВА 2_files\image104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                 (5.3)</w:t>
      </w:r>
    </w:p>
    <w:p w:rsidR="00EE7E03" w:rsidRDefault="00EE7E03" w:rsidP="00EE7E03">
      <w:pPr>
        <w:jc w:val="center"/>
      </w:pPr>
      <w:r>
        <w:t xml:space="preserve">Обычно </w:t>
      </w:r>
      <w:r>
        <w:rPr>
          <w:noProof/>
          <w:vertAlign w:val="subscript"/>
        </w:rPr>
        <w:drawing>
          <wp:inline distT="0" distB="0" distL="0" distR="0" wp14:anchorId="1E430B08" wp14:editId="0D0AF485">
            <wp:extent cx="371475" cy="180975"/>
            <wp:effectExtent l="0" t="0" r="9525" b="9525"/>
            <wp:docPr id="12" name="Picture 12" descr="C:\Users\Василий\Desktop\Нов лек ТЭС\Лекции ТЭС последние\ГЛАВА 2_files\image1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 descr="C:\Users\Василий\Desktop\Нов лек ТЭС\Лекции ТЭС последние\ГЛАВА 2_files\image105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 xml:space="preserve"> Коэффициент модуляции, выраженный в</w:t>
      </w:r>
      <w:r>
        <w:rPr>
          <w:caps/>
        </w:rPr>
        <w:t xml:space="preserve"> </w:t>
      </w:r>
      <w:r>
        <w:t xml:space="preserve">процентах, т. е. М = </w:t>
      </w:r>
      <w:r>
        <w:rPr>
          <w:i/>
          <w:iCs/>
          <w:lang w:val="en-US"/>
        </w:rPr>
        <w:t>m</w:t>
      </w:r>
      <w:r>
        <w:t xml:space="preserve"> ·100%, называют </w:t>
      </w:r>
      <w:r>
        <w:rPr>
          <w:i/>
          <w:iCs/>
        </w:rPr>
        <w:t>глубиной модуляции.</w:t>
      </w:r>
      <w:r>
        <w:t xml:space="preserve"> Коэффициент модуляции пропорционален амплитуде модулирующего сигнала.</w:t>
      </w:r>
    </w:p>
    <w:p w:rsidR="00EE7E03" w:rsidRDefault="00EE7E03" w:rsidP="00EE7E03">
      <w:pPr>
        <w:jc w:val="center"/>
      </w:pPr>
      <w:r>
        <w:t>Используя (5.3), выражение (5.2) записывают в виде</w:t>
      </w:r>
    </w:p>
    <w:p w:rsidR="00EE7E03" w:rsidRDefault="00EE7E03" w:rsidP="00EE7E03">
      <w:pPr>
        <w:jc w:val="center"/>
      </w:pPr>
      <w:r>
        <w:rPr>
          <w:noProof/>
          <w:vertAlign w:val="subscript"/>
        </w:rPr>
        <w:drawing>
          <wp:inline distT="0" distB="0" distL="0" distR="0" wp14:anchorId="78535825" wp14:editId="30698EBC">
            <wp:extent cx="2124075" cy="228600"/>
            <wp:effectExtent l="0" t="0" r="9525" b="0"/>
            <wp:docPr id="13" name="Picture 13" descr="C:\Users\Василий\Desktop\Нов лек ТЭС\Лекции ТЭС последние\ГЛАВА 2_files\image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 descr="C:\Users\Василий\Desktop\Нов лек ТЭС\Лекции ТЭС последние\ГЛАВА 2_files\image106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 (5.4)</w:t>
      </w:r>
    </w:p>
    <w:p w:rsidR="00EE7E03" w:rsidRDefault="00EE7E03" w:rsidP="00EE7E03">
      <w:pPr>
        <w:jc w:val="center"/>
      </w:pPr>
      <w:r>
        <w:t>Для определения спектра АМ колебания раскроем скобки в выражении (5.4)</w:t>
      </w:r>
    </w:p>
    <w:p w:rsidR="00EE7E03" w:rsidRDefault="00EE7E03" w:rsidP="00EE7E03">
      <w:pPr>
        <w:jc w:val="center"/>
      </w:pPr>
      <w:r>
        <w:rPr>
          <w:noProof/>
          <w:vertAlign w:val="subscript"/>
        </w:rPr>
        <w:lastRenderedPageBreak/>
        <w:drawing>
          <wp:inline distT="0" distB="0" distL="0" distR="0" wp14:anchorId="5C958F8C" wp14:editId="70B0D21C">
            <wp:extent cx="4610100" cy="390525"/>
            <wp:effectExtent l="0" t="0" r="0" b="9525"/>
            <wp:docPr id="14" name="Picture 14" descr="C:\Users\Василий\Desktop\Нов лек ТЭС\Лекции ТЭС последние\ГЛАВА 2_files\image1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8" descr="C:\Users\Василий\Desktop\Нов лек ТЭС\Лекции ТЭС последние\ГЛАВА 2_files\image107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 (5.5)</w:t>
      </w:r>
    </w:p>
    <w:p w:rsidR="00EE7E03" w:rsidRDefault="00EE7E03" w:rsidP="00EE7E03">
      <w:pPr>
        <w:jc w:val="center"/>
      </w:pPr>
      <w:r>
        <w:t xml:space="preserve">Согласно (7.5) АМ колебание является суммой трех высокочастотных гармонических колебаний близких частот (поскольку </w:t>
      </w:r>
      <w:r>
        <w:rPr>
          <w:noProof/>
          <w:vertAlign w:val="subscript"/>
        </w:rPr>
        <w:drawing>
          <wp:inline distT="0" distB="0" distL="0" distR="0" wp14:anchorId="4A797DB9" wp14:editId="31D8FE4C">
            <wp:extent cx="561975" cy="228600"/>
            <wp:effectExtent l="0" t="0" r="9525" b="0"/>
            <wp:docPr id="15" name="Picture 15" descr="C:\Users\Василий\Desktop\Нов лек ТЭС\Лекции ТЭС последние\ГЛАВА 2_files\image1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 descr="C:\Users\Василий\Desktop\Нов лек ТЭС\Лекции ТЭС последние\ГЛАВА 2_files\image108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или </w:t>
      </w:r>
      <w:r>
        <w:rPr>
          <w:noProof/>
          <w:vertAlign w:val="subscript"/>
        </w:rPr>
        <w:drawing>
          <wp:inline distT="0" distB="0" distL="0" distR="0" wp14:anchorId="6CA06626" wp14:editId="607BB704">
            <wp:extent cx="533400" cy="228600"/>
            <wp:effectExtent l="0" t="0" r="0" b="0"/>
            <wp:docPr id="16" name="Picture 16" descr="C:\Users\Василий\Desktop\Нов лек ТЭС\Лекции ТЭС последние\ГЛАВА 2_files\image1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 descr="C:\Users\Василий\Desktop\Нов лек ТЭС\Лекции ТЭС последние\ГЛАВА 2_files\image109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):</w:t>
      </w:r>
    </w:p>
    <w:p w:rsidR="00EE7E03" w:rsidRDefault="00EE7E03" w:rsidP="00EE7E03">
      <w:pPr>
        <w:jc w:val="center"/>
      </w:pPr>
      <w:r>
        <w:t xml:space="preserve">а) колебания </w:t>
      </w:r>
      <w:r>
        <w:rPr>
          <w:i/>
          <w:iCs/>
        </w:rPr>
        <w:t xml:space="preserve">несущей частоты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0</w:t>
      </w:r>
      <w:r>
        <w:t xml:space="preserve"> с амплитудой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0</w:t>
      </w:r>
      <w:r>
        <w:t>;</w:t>
      </w:r>
    </w:p>
    <w:p w:rsidR="00EE7E03" w:rsidRDefault="00EE7E03" w:rsidP="00EE7E03">
      <w:pPr>
        <w:jc w:val="center"/>
      </w:pPr>
      <w:r>
        <w:t xml:space="preserve">б) колебания </w:t>
      </w:r>
      <w:r>
        <w:rPr>
          <w:i/>
          <w:iCs/>
        </w:rPr>
        <w:t xml:space="preserve">верхней боковой частоты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0</w:t>
      </w:r>
      <w:r>
        <w:rPr>
          <w:i/>
          <w:iCs/>
        </w:rPr>
        <w:t>+</w:t>
      </w:r>
      <w:r>
        <w:rPr>
          <w:i/>
          <w:iCs/>
          <w:lang w:val="en-US"/>
        </w:rPr>
        <w:t>F</w:t>
      </w:r>
      <w:r>
        <w:t xml:space="preserve"> с амплитудой </w:t>
      </w:r>
      <w:r>
        <w:rPr>
          <w:noProof/>
          <w:vertAlign w:val="subscript"/>
        </w:rPr>
        <w:drawing>
          <wp:inline distT="0" distB="0" distL="0" distR="0" wp14:anchorId="0528EDFF" wp14:editId="0E3F0570">
            <wp:extent cx="695325" cy="390525"/>
            <wp:effectExtent l="0" t="0" r="9525" b="9525"/>
            <wp:docPr id="17" name="Picture 17" descr="C:\Users\Василий\Desktop\Нов лек ТЭС\Лекции ТЭС последние\ГЛАВА 2_files\image1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 descr="C:\Users\Василий\Desktop\Нов лек ТЭС\Лекции ТЭС последние\ГЛАВА 2_files\image110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;</w:t>
      </w:r>
    </w:p>
    <w:p w:rsidR="00EE7E03" w:rsidRDefault="00EE7E03" w:rsidP="00EE7E03">
      <w:pPr>
        <w:jc w:val="center"/>
      </w:pPr>
      <w:r>
        <w:t xml:space="preserve">в) колебания </w:t>
      </w:r>
      <w:r>
        <w:rPr>
          <w:i/>
          <w:iCs/>
        </w:rPr>
        <w:t xml:space="preserve">нижней боковой частоты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0</w:t>
      </w:r>
      <w:r>
        <w:rPr>
          <w:i/>
          <w:iCs/>
        </w:rPr>
        <w:t>-</w:t>
      </w:r>
      <w:r>
        <w:rPr>
          <w:i/>
          <w:iCs/>
          <w:lang w:val="en-US"/>
        </w:rPr>
        <w:t>F</w:t>
      </w:r>
      <w:r w:rsidRPr="00DF3D91">
        <w:rPr>
          <w:i/>
          <w:iCs/>
        </w:rPr>
        <w:t xml:space="preserve"> </w:t>
      </w:r>
      <w:r>
        <w:t xml:space="preserve">с такой же амплитудой </w:t>
      </w:r>
      <w:r>
        <w:rPr>
          <w:noProof/>
          <w:vertAlign w:val="subscript"/>
        </w:rPr>
        <w:drawing>
          <wp:inline distT="0" distB="0" distL="0" distR="0" wp14:anchorId="22C05D33" wp14:editId="48C43A41">
            <wp:extent cx="714375" cy="390525"/>
            <wp:effectExtent l="0" t="0" r="9525" b="9525"/>
            <wp:docPr id="18" name="Picture 18" descr="C:\Users\Василий\Desktop\Нов лек ТЭС\Лекции ТЭС последние\ГЛАВА 2_files\image1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 descr="C:\Users\Василий\Desktop\Нов лек ТЭС\Лекции ТЭС последние\ГЛАВА 2_files\image111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EE7E03" w:rsidRDefault="00EE7E03" w:rsidP="00EE7E03">
      <w:pPr>
        <w:jc w:val="center"/>
      </w:pPr>
      <w:r>
        <w:t xml:space="preserve">Спектр АМ колебания (5.5) приведен на рисунке 5.2. Ширина спектра равна удвоенной частоте модуляции: </w:t>
      </w:r>
      <w:r>
        <w:rPr>
          <w:i/>
          <w:iCs/>
        </w:rPr>
        <w:t>∆</w:t>
      </w:r>
      <w:proofErr w:type="spellStart"/>
      <w:r>
        <w:rPr>
          <w:i/>
          <w:iCs/>
          <w:lang w:val="en-US"/>
        </w:rPr>
        <w:t>f</w:t>
      </w:r>
      <w:r>
        <w:rPr>
          <w:i/>
          <w:iCs/>
          <w:vertAlign w:val="subscript"/>
          <w:lang w:val="en-US"/>
        </w:rPr>
        <w:t>AM</w:t>
      </w:r>
      <w:proofErr w:type="spellEnd"/>
      <w:r>
        <w:rPr>
          <w:i/>
          <w:iCs/>
        </w:rPr>
        <w:t>=2</w:t>
      </w:r>
      <w:r>
        <w:rPr>
          <w:i/>
          <w:iCs/>
          <w:lang w:val="en-US"/>
        </w:rPr>
        <w:t>F</w:t>
      </w:r>
      <w:r>
        <w:t xml:space="preserve">. Амплитуда несущего колебания при модуляции не изменяется; амплитуды колебании боковых частот (верхней и нижней) пропорциональны глубине модуляции, т. е. амплитуде </w:t>
      </w:r>
      <w:r>
        <w:rPr>
          <w:i/>
          <w:iCs/>
        </w:rPr>
        <w:t>Х</w:t>
      </w:r>
      <w:r>
        <w:t xml:space="preserve"> модулирующего сигнала. При </w:t>
      </w:r>
      <w:r>
        <w:rPr>
          <w:lang w:val="en-US"/>
        </w:rPr>
        <w:t>m</w:t>
      </w:r>
      <w:r>
        <w:t>=1 амплитуды колебаний боковых частот достигают половины несущей (0,5</w:t>
      </w:r>
      <w:r>
        <w:rPr>
          <w:lang w:val="en-US"/>
        </w:rPr>
        <w:t>U</w:t>
      </w:r>
      <w:r>
        <w:rPr>
          <w:vertAlign w:val="subscript"/>
        </w:rPr>
        <w:t>0</w:t>
      </w:r>
      <w:r>
        <w:t>).</w:t>
      </w:r>
    </w:p>
    <w:p w:rsidR="00EE7E03" w:rsidRDefault="00EE7E03" w:rsidP="00EE7E03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AFBA974" wp14:editId="13A098D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33625" cy="1447800"/>
            <wp:effectExtent l="0" t="0" r="9525" b="0"/>
            <wp:wrapSquare wrapText="bothSides"/>
            <wp:docPr id="19" name="Picture 14" descr="C:\Users\Василий\Desktop\Нов лек ТЭС\Лекции ТЭС последние\ГЛАВА 2_files\image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Василий\Desktop\Нов лек ТЭС\Лекции ТЭС последние\ГЛАВА 2_files\image112.jpg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44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Первичный сигнал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характеризуется амплитудой </w:t>
      </w:r>
      <w:r>
        <w:rPr>
          <w:i/>
          <w:iCs/>
        </w:rPr>
        <w:t>Х</w:t>
      </w:r>
      <w:r>
        <w:t xml:space="preserve"> и частотой модуляции </w:t>
      </w:r>
      <w:r>
        <w:rPr>
          <w:rFonts w:ascii="Symbol" w:hAnsi="Symbol"/>
        </w:rPr>
        <w:t></w:t>
      </w:r>
      <w:r>
        <w:rPr>
          <w:i/>
          <w:iCs/>
        </w:rPr>
        <w:t>.</w:t>
      </w:r>
      <w:r>
        <w:t xml:space="preserve"> В модулированном колебании информация о первичном сигнале содержится в боковых частотах: в амплитудах </w:t>
      </w:r>
      <w:r>
        <w:rPr>
          <w:noProof/>
          <w:vertAlign w:val="subscript"/>
        </w:rPr>
        <w:drawing>
          <wp:inline distT="0" distB="0" distL="0" distR="0" wp14:anchorId="13133CF4" wp14:editId="64162ADD">
            <wp:extent cx="542925" cy="228600"/>
            <wp:effectExtent l="0" t="0" r="9525" b="0"/>
            <wp:docPr id="20" name="Picture 20" descr="C:\Users\Василий\Desktop\Нов лек ТЭС\Лекции ТЭС последние\ГЛАВА 2_files\image1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 descr="C:\Users\Василий\Desktop\Нов лек ТЭС\Лекции ТЭС последние\ГЛАВА 2_files\image113.gif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пропорциональных амплитуде </w:t>
      </w:r>
      <w:r>
        <w:rPr>
          <w:i/>
          <w:iCs/>
        </w:rPr>
        <w:t>X,</w:t>
      </w:r>
      <w:r>
        <w:t xml:space="preserve"> и в расстоянии боковых частот от несущей, равном Ω. Несущее колебание никакой информации не содержит, и в процессе модуляции оно не меняется. Поэтому можно ограничиться передачей только боковых полос, что и реализуется в системах связи на двух боковых полосах (ДБП) без несущей. Более того, поскольку каждая боковая полоса содержит полную информацию о первичном сигнале, можно обойтись передачей только одной боковой полосы (ОБП). Модуляция, в результате которой получаются колебания одной боковой полосы, называется </w:t>
      </w:r>
      <w:r>
        <w:rPr>
          <w:i/>
          <w:iCs/>
        </w:rPr>
        <w:t xml:space="preserve">однополосной (ОМ). </w:t>
      </w:r>
      <w:r>
        <w:t>Очевидными достоинствами систем связи ДБП и ОБП являются возможности использования всей мощности передатчика на передачу только боковых полос (двух или одной) сигнала, что позволяет повысить дальность и надежность связи. При однополосной модуляции, кроме того, вдвое уменьшается ширина спектра модулированного колебания, что позволяет соответственно увеличить число сигналов, передаваемых по линии связи в заданной полосе частот.</w:t>
      </w:r>
    </w:p>
    <w:p w:rsidR="00EE7E03" w:rsidRDefault="00EE7E03" w:rsidP="00EE7E03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41775267" wp14:editId="19A1056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52600" cy="381000"/>
            <wp:effectExtent l="0" t="0" r="0" b="0"/>
            <wp:wrapSquare wrapText="bothSides"/>
            <wp:docPr id="21" name="Picture 15" descr="Подпись: Рисунок 5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Подпись: Рисунок 5.3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81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7E03" w:rsidRDefault="00EE7E03" w:rsidP="00EE7E03">
      <w:pPr>
        <w:jc w:val="center"/>
      </w:pPr>
      <w:r>
        <w:t>На практике в качестве нелинейных элементов модуляторов используются транзисторы. Модулируемое высокочастотное напряжение подают во входную цепь нелинейного элемента. Модулирующий же сигнал вводят в цепи различных электродов: в цепь базы или коллектора (соответственно базовая или коллекторная модуляция). Рассмотрим схему базовой модуляции на транзисторе (см. рисунок 5.3).</w:t>
      </w:r>
    </w:p>
    <w:p w:rsidR="00EE7E03" w:rsidRDefault="00EE7E03" w:rsidP="00EE7E03">
      <w:pPr>
        <w:jc w:val="center"/>
      </w:pPr>
      <w:r>
        <w:t xml:space="preserve">Напряжение на базе содержит, кроме смещения </w:t>
      </w:r>
      <w:r>
        <w:rPr>
          <w:i/>
          <w:iCs/>
        </w:rPr>
        <w:t>Е</w:t>
      </w:r>
      <w:r>
        <w:rPr>
          <w:i/>
          <w:iCs/>
          <w:vertAlign w:val="subscript"/>
        </w:rPr>
        <w:t>б</w:t>
      </w:r>
      <w:r>
        <w:rPr>
          <w:i/>
          <w:iCs/>
        </w:rPr>
        <w:t>,</w:t>
      </w:r>
      <w:r>
        <w:t xml:space="preserve"> определяющего положение рабочей точки, колебания низкой и высокой частот</w:t>
      </w:r>
    </w:p>
    <w:p w:rsidR="00EE7E03" w:rsidRDefault="00EE7E03" w:rsidP="00EE7E03">
      <w:pPr>
        <w:jc w:val="center"/>
      </w:pPr>
      <w:r>
        <w:rPr>
          <w:noProof/>
          <w:vertAlign w:val="subscript"/>
        </w:rPr>
        <w:drawing>
          <wp:inline distT="0" distB="0" distL="0" distR="0" wp14:anchorId="5158D493" wp14:editId="57DFDFEC">
            <wp:extent cx="1209675" cy="238125"/>
            <wp:effectExtent l="0" t="0" r="9525" b="9525"/>
            <wp:docPr id="22" name="Picture 22" descr="C:\Users\Василий\Desktop\Нов лек ТЭС\Лекции ТЭС последние\ГЛАВА 2_files\image1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2" descr="C:\Users\Василий\Desktop\Нов лек ТЭС\Лекции ТЭС последние\ГЛАВА 2_files\image115.gif"/>
                    <pic:cNvPicPr>
                      <a:picLocks noChangeAspect="1" noChangeArrowheads="1"/>
                    </pic:cNvPicPr>
                  </pic:nvPicPr>
                  <pic:blipFill>
                    <a:blip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 (5.6)</w:t>
      </w:r>
    </w:p>
    <w:p w:rsidR="00EE7E03" w:rsidRDefault="00EE7E03" w:rsidP="00EE7E03">
      <w:pPr>
        <w:jc w:val="center"/>
      </w:pPr>
      <w:r>
        <w:t xml:space="preserve">Здесь 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 =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 </w:t>
      </w:r>
      <w:proofErr w:type="spellStart"/>
      <w:r>
        <w:rPr>
          <w:i/>
          <w:iCs/>
          <w:lang w:val="en-US"/>
        </w:rPr>
        <w:t>cos</w:t>
      </w:r>
      <w:proofErr w:type="spellEnd"/>
      <w:r w:rsidRPr="00DF3D91">
        <w:rPr>
          <w:i/>
          <w:iCs/>
        </w:rPr>
        <w:t xml:space="preserve"> </w:t>
      </w:r>
      <w:r>
        <w:rPr>
          <w:i/>
          <w:iCs/>
          <w:lang w:val="en-US"/>
        </w:rPr>
        <w:t>ω</w:t>
      </w:r>
      <w:r>
        <w:rPr>
          <w:i/>
          <w:iCs/>
          <w:vertAlign w:val="subscript"/>
        </w:rPr>
        <w:t>0</w:t>
      </w:r>
      <w:r>
        <w:rPr>
          <w:i/>
          <w:iCs/>
          <w:lang w:val="en-US"/>
        </w:rPr>
        <w:t>t</w:t>
      </w:r>
      <w:r w:rsidRPr="00DF3D91">
        <w:rPr>
          <w:i/>
          <w:iCs/>
        </w:rPr>
        <w:t xml:space="preserve"> </w:t>
      </w:r>
      <w:r>
        <w:t xml:space="preserve">– высокочастотное напряжение;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 =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 </w:t>
      </w:r>
      <w:proofErr w:type="spellStart"/>
      <w:r>
        <w:rPr>
          <w:i/>
          <w:iCs/>
          <w:lang w:val="en-US"/>
        </w:rPr>
        <w:t>cos</w:t>
      </w:r>
      <w:proofErr w:type="spellEnd"/>
      <w:r w:rsidRPr="00DF3D91">
        <w:rPr>
          <w:i/>
          <w:iCs/>
        </w:rPr>
        <w:t xml:space="preserve"> </w:t>
      </w:r>
      <w:proofErr w:type="spellStart"/>
      <w:r>
        <w:rPr>
          <w:i/>
          <w:iCs/>
          <w:lang w:val="en-US"/>
        </w:rPr>
        <w:t>Ωt</w:t>
      </w:r>
      <w:proofErr w:type="spellEnd"/>
      <w:r>
        <w:t xml:space="preserve"> – модулирующее низкочастотное напряжение. На рисунке 7.4 </w:t>
      </w:r>
      <w:r>
        <w:rPr>
          <w:lang w:val="en-US"/>
        </w:rPr>
        <w:t>a</w:t>
      </w:r>
      <w:r>
        <w:t xml:space="preserve">-в по характеристике прибора </w:t>
      </w:r>
      <w:proofErr w:type="spellStart"/>
      <w:r>
        <w:rPr>
          <w:i/>
          <w:iCs/>
          <w:lang w:val="en-US"/>
        </w:rPr>
        <w:t>i</w:t>
      </w:r>
      <w:proofErr w:type="spellEnd"/>
      <w:r>
        <w:rPr>
          <w:vertAlign w:val="subscript"/>
        </w:rPr>
        <w:t>к</w:t>
      </w:r>
      <w:r>
        <w:t>=Ф(</w:t>
      </w:r>
      <w:r>
        <w:rPr>
          <w:i/>
          <w:iCs/>
          <w:lang w:val="en-US"/>
        </w:rPr>
        <w:t>u</w:t>
      </w:r>
      <w:r>
        <w:rPr>
          <w:vertAlign w:val="subscript"/>
        </w:rPr>
        <w:t>б</w:t>
      </w:r>
      <w:r>
        <w:t xml:space="preserve">) методом проекций построена зависимость </w:t>
      </w:r>
      <w:proofErr w:type="spellStart"/>
      <w:r>
        <w:rPr>
          <w:i/>
          <w:iCs/>
          <w:lang w:val="en-US"/>
        </w:rPr>
        <w:t>i</w:t>
      </w:r>
      <w:proofErr w:type="spellEnd"/>
      <w:r>
        <w:rPr>
          <w:vertAlign w:val="subscript"/>
        </w:rPr>
        <w:t>к</w:t>
      </w:r>
      <w:r>
        <w:t xml:space="preserve"> от времени. Коллекторный ток представляет последовательность импульсов, отличающихся друг от друга высотой </w:t>
      </w:r>
      <w:r>
        <w:rPr>
          <w:i/>
          <w:iCs/>
          <w:lang w:val="en-US"/>
        </w:rPr>
        <w:t>I</w:t>
      </w:r>
      <w:r>
        <w:rPr>
          <w:vertAlign w:val="subscript"/>
          <w:lang w:val="en-US"/>
        </w:rPr>
        <w:t>max</w:t>
      </w:r>
      <w:r>
        <w:t xml:space="preserve"> и углом отсечки θ. Если разложить каждый из этих импульсов тока в ряд Фурье за период высокой частоты </w:t>
      </w:r>
      <w:r>
        <w:rPr>
          <w:noProof/>
          <w:vertAlign w:val="subscript"/>
        </w:rPr>
        <w:drawing>
          <wp:inline distT="0" distB="0" distL="0" distR="0" wp14:anchorId="429E3661" wp14:editId="4A98F251">
            <wp:extent cx="600075" cy="476250"/>
            <wp:effectExtent l="0" t="0" r="9525" b="0"/>
            <wp:docPr id="23" name="Picture 23" descr="C:\Users\Василий\Desktop\Нов лек ТЭС\Лекции ТЭС последние\ГЛАВА 2_files\image1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 descr="C:\Users\Василий\Desktop\Нов лек ТЭС\Лекции ТЭС последние\ГЛАВА 2_files\image116.gif"/>
                    <pic:cNvPicPr>
                      <a:picLocks noChangeAspect="1" noChangeArrowheads="1"/>
                    </pic:cNvPicPr>
                  </pic:nvPicPr>
                  <pic:blipFill>
                    <a:blip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получим постоянную составляющую и гармоники высокой частоты.</w:t>
      </w:r>
    </w:p>
    <w:p w:rsidR="00EE7E03" w:rsidRDefault="00EE7E03" w:rsidP="00EE7E03">
      <w:pPr>
        <w:jc w:val="center"/>
      </w:pPr>
      <w:r>
        <w:rPr>
          <w:noProof/>
        </w:rPr>
        <w:drawing>
          <wp:inline distT="0" distB="0" distL="0" distR="0" wp14:anchorId="6894E76A" wp14:editId="337EAD1E">
            <wp:extent cx="3733800" cy="2638425"/>
            <wp:effectExtent l="0" t="0" r="0" b="9525"/>
            <wp:docPr id="24" name="Picture 24" descr="C:\Users\Василий\Desktop\Нов лек ТЭС\Лекции ТЭС последние\ГЛАВА 2_files\image1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 descr="C:\Users\Василий\Desktop\Нов лек ТЭС\Лекции ТЭС последние\ГЛАВА 2_files\image117.gif"/>
                    <pic:cNvPicPr>
                      <a:picLocks noChangeAspect="1" noChangeArrowheads="1"/>
                    </pic:cNvPicPr>
                  </pic:nvPicPr>
                  <pic:blipFill>
                    <a:blip r:link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E03" w:rsidRDefault="00EE7E03" w:rsidP="00EE7E03">
      <w:pPr>
        <w:jc w:val="center"/>
        <w:rPr>
          <w:rFonts w:eastAsia="Times New Roman"/>
        </w:rPr>
      </w:pPr>
      <w:r>
        <w:rPr>
          <w:rFonts w:eastAsia="Times New Roman"/>
        </w:rPr>
        <w:t>Рисунок 5.4</w:t>
      </w:r>
    </w:p>
    <w:p w:rsidR="00EE7E03" w:rsidRDefault="00EE7E03" w:rsidP="00EE7E03">
      <w:pPr>
        <w:jc w:val="center"/>
      </w:pPr>
      <w:r>
        <w:t xml:space="preserve">Напряжение на контуре, настроенном на частоту </w:t>
      </w:r>
      <w:r>
        <w:rPr>
          <w:i/>
          <w:iCs/>
          <w:lang w:val="en-US"/>
        </w:rPr>
        <w:t>ω</w:t>
      </w:r>
      <w:r>
        <w:rPr>
          <w:i/>
          <w:iCs/>
          <w:vertAlign w:val="subscript"/>
        </w:rPr>
        <w:t>0</w:t>
      </w:r>
      <w:r>
        <w:t xml:space="preserve">, создается только первой гармоникой </w:t>
      </w:r>
      <w:proofErr w:type="spellStart"/>
      <w:r>
        <w:rPr>
          <w:i/>
          <w:iCs/>
          <w:lang w:val="en-US"/>
        </w:rPr>
        <w:t>i</w:t>
      </w:r>
      <w:r>
        <w:rPr>
          <w:i/>
          <w:iCs/>
          <w:vertAlign w:val="subscript"/>
          <w:lang w:val="en-US"/>
        </w:rPr>
        <w:t>k</w:t>
      </w:r>
      <w:proofErr w:type="spellEnd"/>
      <w:r>
        <w:rPr>
          <w:i/>
          <w:iCs/>
          <w:vertAlign w:val="subscript"/>
        </w:rPr>
        <w:t>1</w:t>
      </w:r>
      <w:r>
        <w:rPr>
          <w:i/>
          <w:iCs/>
        </w:rPr>
        <w:t>=</w:t>
      </w:r>
      <w:proofErr w:type="spellStart"/>
      <w:r>
        <w:rPr>
          <w:i/>
          <w:iCs/>
          <w:lang w:val="en-US"/>
        </w:rPr>
        <w:t>I</w:t>
      </w:r>
      <w:r>
        <w:rPr>
          <w:i/>
          <w:iCs/>
          <w:vertAlign w:val="subscript"/>
          <w:lang w:val="en-US"/>
        </w:rPr>
        <w:t>k</w:t>
      </w:r>
      <w:proofErr w:type="spellEnd"/>
      <w:r>
        <w:rPr>
          <w:i/>
          <w:iCs/>
          <w:vertAlign w:val="subscript"/>
        </w:rPr>
        <w:t>1</w:t>
      </w:r>
      <w:proofErr w:type="spellStart"/>
      <w:r>
        <w:rPr>
          <w:i/>
          <w:iCs/>
          <w:lang w:val="en-US"/>
        </w:rPr>
        <w:t>cos</w:t>
      </w:r>
      <w:proofErr w:type="spellEnd"/>
      <w:r w:rsidRPr="00DF3D91">
        <w:rPr>
          <w:i/>
          <w:iCs/>
        </w:rPr>
        <w:t xml:space="preserve"> </w:t>
      </w:r>
      <w:r>
        <w:rPr>
          <w:i/>
          <w:iCs/>
          <w:lang w:val="en-US"/>
        </w:rPr>
        <w:t>ω</w:t>
      </w:r>
      <w:r>
        <w:rPr>
          <w:i/>
          <w:iCs/>
          <w:vertAlign w:val="subscript"/>
        </w:rPr>
        <w:t>0</w:t>
      </w:r>
      <w:r>
        <w:rPr>
          <w:i/>
          <w:iCs/>
          <w:lang w:val="en-US"/>
        </w:rPr>
        <w:t>t</w:t>
      </w:r>
      <w:r>
        <w:t xml:space="preserve">: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вых</w:t>
      </w:r>
      <w:r>
        <w:rPr>
          <w:i/>
          <w:iCs/>
        </w:rPr>
        <w:t>=</w:t>
      </w:r>
      <w:proofErr w:type="spellStart"/>
      <w:r>
        <w:rPr>
          <w:i/>
          <w:iCs/>
          <w:lang w:val="en-US"/>
        </w:rPr>
        <w:t>i</w:t>
      </w:r>
      <w:r>
        <w:rPr>
          <w:i/>
          <w:iCs/>
          <w:vertAlign w:val="subscript"/>
          <w:lang w:val="en-US"/>
        </w:rPr>
        <w:t>k</w:t>
      </w:r>
      <w:proofErr w:type="spellEnd"/>
      <w:r>
        <w:rPr>
          <w:i/>
          <w:iCs/>
          <w:vertAlign w:val="subscript"/>
        </w:rPr>
        <w:t>1</w:t>
      </w:r>
      <w:r>
        <w:rPr>
          <w:i/>
          <w:iCs/>
          <w:lang w:val="en-US"/>
        </w:rPr>
        <w:t>R</w:t>
      </w:r>
      <w:r>
        <w:rPr>
          <w:i/>
          <w:iCs/>
          <w:vertAlign w:val="subscript"/>
        </w:rPr>
        <w:t>э</w:t>
      </w:r>
      <w:r>
        <w:rPr>
          <w:i/>
          <w:iCs/>
        </w:rPr>
        <w:t>=</w:t>
      </w:r>
      <w:proofErr w:type="spellStart"/>
      <w:r>
        <w:rPr>
          <w:i/>
          <w:iCs/>
          <w:lang w:val="en-US"/>
        </w:rPr>
        <w:t>I</w:t>
      </w:r>
      <w:r>
        <w:rPr>
          <w:i/>
          <w:iCs/>
          <w:vertAlign w:val="subscript"/>
          <w:lang w:val="en-US"/>
        </w:rPr>
        <w:t>k</w:t>
      </w:r>
      <w:proofErr w:type="spellEnd"/>
      <w:r>
        <w:rPr>
          <w:i/>
          <w:iCs/>
          <w:vertAlign w:val="subscript"/>
        </w:rPr>
        <w:t>1</w:t>
      </w:r>
      <w:r>
        <w:rPr>
          <w:i/>
          <w:iCs/>
        </w:rPr>
        <w:t xml:space="preserve"> </w:t>
      </w:r>
      <w:r>
        <w:rPr>
          <w:i/>
          <w:iCs/>
          <w:lang w:val="en-US"/>
        </w:rPr>
        <w:t>R</w:t>
      </w:r>
      <w:r>
        <w:rPr>
          <w:i/>
          <w:iCs/>
          <w:vertAlign w:val="subscript"/>
        </w:rPr>
        <w:t>э</w:t>
      </w:r>
      <w:proofErr w:type="spellStart"/>
      <w:r>
        <w:rPr>
          <w:i/>
          <w:iCs/>
          <w:lang w:val="en-US"/>
        </w:rPr>
        <w:t>cos</w:t>
      </w:r>
      <w:proofErr w:type="spellEnd"/>
      <w:r w:rsidRPr="00DF3D91">
        <w:rPr>
          <w:i/>
          <w:iCs/>
        </w:rPr>
        <w:t xml:space="preserve"> </w:t>
      </w:r>
      <w:r>
        <w:rPr>
          <w:i/>
          <w:iCs/>
          <w:lang w:val="en-US"/>
        </w:rPr>
        <w:t>ω</w:t>
      </w:r>
      <w:r>
        <w:rPr>
          <w:i/>
          <w:iCs/>
          <w:vertAlign w:val="subscript"/>
        </w:rPr>
        <w:t>0</w:t>
      </w:r>
      <w:r>
        <w:rPr>
          <w:i/>
          <w:iCs/>
          <w:lang w:val="en-US"/>
        </w:rPr>
        <w:t>t</w:t>
      </w:r>
      <w:r>
        <w:rPr>
          <w:i/>
          <w:iCs/>
        </w:rPr>
        <w:t>.</w:t>
      </w:r>
      <w:r>
        <w:t xml:space="preserve">Изменение высоты и ширины импульсов тока во времени приводит к изменению амплитуды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 xml:space="preserve"> с низкой частотой Ω. Поэтому выходное напряжение получается модулированным по амплитуде (см. рисунок 5.4 г).  Режим работы модулятора, определяемый величинами </w:t>
      </w:r>
      <w:r>
        <w:rPr>
          <w:i/>
          <w:iCs/>
          <w:caps/>
          <w:lang w:val="en-US"/>
        </w:rPr>
        <w:t>E</w:t>
      </w:r>
      <w:r>
        <w:rPr>
          <w:vertAlign w:val="subscript"/>
        </w:rPr>
        <w:t>б</w:t>
      </w:r>
      <w:r>
        <w:rPr>
          <w:i/>
          <w:iCs/>
          <w:caps/>
        </w:rPr>
        <w:t xml:space="preserve">,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 </w:t>
      </w:r>
      <w:r>
        <w:t xml:space="preserve">и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2</w:t>
      </w:r>
      <w:r>
        <w:t xml:space="preserve">, нельзя выбирать таким, чтобы все мгновенные значения находились в пределах линейного участка характеристики транзистора, так как в этом случае коллекторный ток будет иметь такую же форму, что и </w:t>
      </w:r>
      <w:r>
        <w:rPr>
          <w:i/>
          <w:iCs/>
          <w:lang w:val="en-US"/>
        </w:rPr>
        <w:t>u</w:t>
      </w:r>
      <w:r>
        <w:rPr>
          <w:vertAlign w:val="subscript"/>
        </w:rPr>
        <w:t>б</w:t>
      </w:r>
      <w:r>
        <w:t xml:space="preserve">, амплитуда высокочастотной составляющей тока </w:t>
      </w:r>
      <w:proofErr w:type="spellStart"/>
      <w:r>
        <w:rPr>
          <w:i/>
          <w:iCs/>
          <w:lang w:val="en-US"/>
        </w:rPr>
        <w:t>i</w:t>
      </w:r>
      <w:r>
        <w:rPr>
          <w:i/>
          <w:iCs/>
          <w:vertAlign w:val="subscript"/>
          <w:lang w:val="en-US"/>
        </w:rPr>
        <w:t>k</w:t>
      </w:r>
      <w:proofErr w:type="spellEnd"/>
      <w:r>
        <w:rPr>
          <w:i/>
          <w:iCs/>
          <w:vertAlign w:val="subscript"/>
        </w:rPr>
        <w:t>1</w:t>
      </w:r>
      <w:r>
        <w:t xml:space="preserve"> будет постоянной, а потому напряжение на выходе окажется немодулированным. При осуществлении модуляции могут возникать искажения огибающей </w:t>
      </w:r>
      <w:r>
        <w:rPr>
          <w:lang w:val="en-US"/>
        </w:rPr>
        <w:t>AM</w:t>
      </w:r>
      <w:r>
        <w:t xml:space="preserve"> колебания. Оценка величины искажений и выбор режима работы, обеспечивающего их отсутствие, по характеристике прямой передачи </w:t>
      </w:r>
      <w:proofErr w:type="spellStart"/>
      <w:r>
        <w:rPr>
          <w:i/>
          <w:iCs/>
          <w:lang w:val="en-US"/>
        </w:rPr>
        <w:t>i</w:t>
      </w:r>
      <w:r>
        <w:rPr>
          <w:i/>
          <w:iCs/>
          <w:vertAlign w:val="subscript"/>
          <w:lang w:val="en-US"/>
        </w:rPr>
        <w:t>k</w:t>
      </w:r>
      <w:proofErr w:type="spellEnd"/>
      <w:r>
        <w:rPr>
          <w:i/>
          <w:iCs/>
          <w:vertAlign w:val="subscript"/>
        </w:rPr>
        <w:t>1</w:t>
      </w:r>
      <w:r>
        <w:t>(</w:t>
      </w:r>
      <w:r>
        <w:rPr>
          <w:i/>
          <w:iCs/>
          <w:lang w:val="en-US"/>
        </w:rPr>
        <w:t>u</w:t>
      </w:r>
      <w:r>
        <w:rPr>
          <w:vertAlign w:val="subscript"/>
        </w:rPr>
        <w:t>б</w:t>
      </w:r>
      <w:r>
        <w:t xml:space="preserve">) практически невозможны. Для решения этой задачи целесообразен иной подход к рассмотрению работы модулятора. Напряжение </w:t>
      </w:r>
      <w:r>
        <w:rPr>
          <w:i/>
          <w:iCs/>
          <w:lang w:val="en-US"/>
        </w:rPr>
        <w:t>u</w:t>
      </w:r>
      <w:r>
        <w:rPr>
          <w:vertAlign w:val="subscript"/>
        </w:rPr>
        <w:t>б</w:t>
      </w:r>
      <w:r>
        <w:rPr>
          <w:caps/>
        </w:rPr>
        <w:t xml:space="preserve"> </w:t>
      </w:r>
      <w:r>
        <w:t xml:space="preserve">можно рассматривать как сумму высокочастотного колебания </w:t>
      </w:r>
      <w:r>
        <w:rPr>
          <w:i/>
          <w:iCs/>
          <w:lang w:val="en-US"/>
        </w:rPr>
        <w:t>u</w:t>
      </w:r>
      <w:r>
        <w:rPr>
          <w:vertAlign w:val="subscript"/>
        </w:rPr>
        <w:t>1</w:t>
      </w:r>
      <w:r>
        <w:t xml:space="preserve"> и напряжения смещения </w:t>
      </w:r>
      <w:r>
        <w:rPr>
          <w:i/>
          <w:iCs/>
          <w:lang w:val="en-US"/>
        </w:rPr>
        <w:t>u</w:t>
      </w:r>
      <w:r>
        <w:rPr>
          <w:vertAlign w:val="subscript"/>
        </w:rPr>
        <w:t>б</w:t>
      </w:r>
      <w:r>
        <w:t>(</w:t>
      </w:r>
      <w:r>
        <w:rPr>
          <w:lang w:val="en-US"/>
        </w:rPr>
        <w:t>t</w:t>
      </w:r>
      <w:r>
        <w:t>)=</w:t>
      </w:r>
      <w:r>
        <w:rPr>
          <w:i/>
          <w:iCs/>
        </w:rPr>
        <w:t xml:space="preserve"> </w:t>
      </w:r>
      <w:r>
        <w:rPr>
          <w:lang w:val="en-US"/>
        </w:rPr>
        <w:t>E</w:t>
      </w:r>
      <w:r>
        <w:rPr>
          <w:vertAlign w:val="subscript"/>
        </w:rPr>
        <w:t>б</w:t>
      </w:r>
      <w:r>
        <w:t>+</w:t>
      </w:r>
      <w:r>
        <w:rPr>
          <w:i/>
          <w:iCs/>
        </w:rPr>
        <w:t xml:space="preserve"> </w:t>
      </w:r>
      <w:r>
        <w:rPr>
          <w:i/>
          <w:iCs/>
          <w:lang w:val="en-US"/>
        </w:rPr>
        <w:t>u</w:t>
      </w:r>
      <w:r>
        <w:rPr>
          <w:vertAlign w:val="subscript"/>
        </w:rPr>
        <w:t>2</w:t>
      </w:r>
      <w:r>
        <w:t>(</w:t>
      </w:r>
      <w:r>
        <w:rPr>
          <w:lang w:val="en-US"/>
        </w:rPr>
        <w:t>t</w:t>
      </w:r>
      <w:r>
        <w:t xml:space="preserve">), медленно изменяющегося с низкой частотой, а модуляцию как следствие изменения смещения, приводящего к изменению импульсов тока и их первой гармоники. Так как амплитуда выходного напряжения пропорциональна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 xml:space="preserve">, для получения неискаженной модуляции требуется, чтобы амплитуда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 xml:space="preserve"> изменялась пропорционально изменению напряжения смещения. Зависимость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 xml:space="preserve"> от </w:t>
      </w:r>
      <w:r>
        <w:rPr>
          <w:lang w:val="en-US"/>
        </w:rPr>
        <w:t>E</w:t>
      </w:r>
      <w:r>
        <w:rPr>
          <w:vertAlign w:val="subscript"/>
        </w:rPr>
        <w:t>б</w:t>
      </w:r>
      <w:r>
        <w:rPr>
          <w:caps/>
        </w:rPr>
        <w:t xml:space="preserve"> </w:t>
      </w:r>
      <w:r>
        <w:t xml:space="preserve">при постоянной амплитуде </w:t>
      </w:r>
      <w:r>
        <w:rPr>
          <w:i/>
          <w:iCs/>
          <w:lang w:val="en-US"/>
        </w:rPr>
        <w:t>U</w:t>
      </w:r>
      <w:r>
        <w:rPr>
          <w:vertAlign w:val="subscript"/>
        </w:rPr>
        <w:t>1</w:t>
      </w:r>
      <w:r>
        <w:t xml:space="preserve"> называется </w:t>
      </w:r>
      <w:r>
        <w:rPr>
          <w:i/>
          <w:iCs/>
        </w:rPr>
        <w:t>статической модуляционной характеристикой.</w:t>
      </w:r>
      <w:r>
        <w:t xml:space="preserve"> Она может быть рассчитана по статической характеристике прибора (см. рисунок 5.5 а): при неизменной амплитуде </w:t>
      </w:r>
      <w:r>
        <w:rPr>
          <w:i/>
          <w:iCs/>
          <w:lang w:val="en-US"/>
        </w:rPr>
        <w:t>U</w:t>
      </w:r>
      <w:r>
        <w:rPr>
          <w:vertAlign w:val="subscript"/>
        </w:rPr>
        <w:t>1</w:t>
      </w:r>
      <w:r>
        <w:t xml:space="preserve"> и различных смещениях </w:t>
      </w:r>
      <w:r>
        <w:rPr>
          <w:lang w:val="en-US"/>
        </w:rPr>
        <w:t>E</w:t>
      </w:r>
      <w:r>
        <w:rPr>
          <w:vertAlign w:val="subscript"/>
        </w:rPr>
        <w:t>б</w:t>
      </w:r>
      <w:r>
        <w:t>,</w:t>
      </w:r>
      <w:r>
        <w:rPr>
          <w:i/>
          <w:iCs/>
          <w:caps/>
        </w:rPr>
        <w:t xml:space="preserve"> </w:t>
      </w:r>
      <w:r>
        <w:t xml:space="preserve">с помощью одного из методов спектрального анализа определяем амплитуду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 xml:space="preserve"> и строим зависимость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 xml:space="preserve"> (</w:t>
      </w:r>
      <w:r>
        <w:rPr>
          <w:lang w:val="en-US"/>
        </w:rPr>
        <w:t>E</w:t>
      </w:r>
      <w:r>
        <w:rPr>
          <w:vertAlign w:val="subscript"/>
        </w:rPr>
        <w:t>б</w:t>
      </w:r>
      <w:r>
        <w:t xml:space="preserve">) </w:t>
      </w:r>
      <w:r>
        <w:rPr>
          <w:caps/>
        </w:rPr>
        <w:t xml:space="preserve">(см. </w:t>
      </w:r>
      <w:r>
        <w:t>рисунок 5</w:t>
      </w:r>
      <w:r>
        <w:rPr>
          <w:caps/>
        </w:rPr>
        <w:t xml:space="preserve">.5 </w:t>
      </w:r>
      <w:r>
        <w:t>б), которая и является статической модуляционной характеристикой.</w:t>
      </w:r>
    </w:p>
    <w:p w:rsidR="00EE7E03" w:rsidRDefault="00EE7E03" w:rsidP="00EE7E03">
      <w:pPr>
        <w:jc w:val="center"/>
      </w:pPr>
      <w:r>
        <w:rPr>
          <w:noProof/>
        </w:rPr>
        <w:drawing>
          <wp:inline distT="0" distB="0" distL="0" distR="0" wp14:anchorId="1DC4290C" wp14:editId="09678056">
            <wp:extent cx="2724150" cy="2543175"/>
            <wp:effectExtent l="0" t="0" r="0" b="9525"/>
            <wp:docPr id="25" name="Picture 25" descr="C:\Users\Василий\Desktop\Нов лек ТЭС\Лекции ТЭС последние\ГЛАВА 2_files\image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 descr="C:\Users\Василий\Desktop\Нов лек ТЭС\Лекции ТЭС последние\ГЛАВА 2_files\image118.jpg"/>
                    <pic:cNvPicPr>
                      <a:picLocks noChangeAspect="1" noChangeArrowheads="1"/>
                    </pic:cNvPicPr>
                  </pic:nvPicPr>
                  <pic:blipFill>
                    <a:blip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E03" w:rsidRDefault="00EE7E03" w:rsidP="00EE7E03">
      <w:pPr>
        <w:jc w:val="center"/>
      </w:pPr>
      <w:r>
        <w:t>Рисунок 5.5</w:t>
      </w:r>
    </w:p>
    <w:p w:rsidR="00EE7E03" w:rsidRDefault="00EE7E03" w:rsidP="00EE7E03">
      <w:pPr>
        <w:jc w:val="center"/>
      </w:pPr>
      <w:r>
        <w:t xml:space="preserve">Отметим некоторые ее особенности. При смещении, равном напряжению запирания </w:t>
      </w:r>
      <w:r>
        <w:rPr>
          <w:lang w:val="en-US"/>
        </w:rPr>
        <w:t>U</w:t>
      </w:r>
      <w:r>
        <w:t>’</w:t>
      </w:r>
      <w:r>
        <w:rPr>
          <w:vertAlign w:val="subscript"/>
        </w:rPr>
        <w:t>б</w:t>
      </w:r>
      <w:r>
        <w:rPr>
          <w:i/>
          <w:iCs/>
        </w:rPr>
        <w:t>,</w:t>
      </w:r>
      <w:r>
        <w:t xml:space="preserve"> получаются импульсы тока </w:t>
      </w:r>
      <w:proofErr w:type="spellStart"/>
      <w:r>
        <w:rPr>
          <w:lang w:val="en-US"/>
        </w:rPr>
        <w:t>i</w:t>
      </w:r>
      <w:r>
        <w:rPr>
          <w:vertAlign w:val="subscript"/>
          <w:lang w:val="en-US"/>
        </w:rPr>
        <w:t>k</w:t>
      </w:r>
      <w:proofErr w:type="spellEnd"/>
      <w:r>
        <w:t xml:space="preserve"> с углом отсечки θ=90</w:t>
      </w:r>
      <w:r>
        <w:rPr>
          <w:vertAlign w:val="superscript"/>
        </w:rPr>
        <w:t>0</w:t>
      </w:r>
      <w:r>
        <w:t xml:space="preserve">, а потому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 xml:space="preserve">≠0. Амплитуда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 xml:space="preserve"> уменьшится до нуля, когда смещение достигнет величины </w:t>
      </w:r>
      <w:r>
        <w:rPr>
          <w:i/>
          <w:iCs/>
          <w:lang w:val="en-US"/>
        </w:rPr>
        <w:t>E</w:t>
      </w:r>
      <w:r>
        <w:rPr>
          <w:i/>
          <w:iCs/>
        </w:rPr>
        <w:t>’</w:t>
      </w:r>
      <w:r>
        <w:rPr>
          <w:i/>
          <w:iCs/>
          <w:vertAlign w:val="subscript"/>
        </w:rPr>
        <w:t>б</w:t>
      </w:r>
      <w:r>
        <w:rPr>
          <w:i/>
          <w:iCs/>
        </w:rPr>
        <w:t xml:space="preserve">= </w:t>
      </w:r>
      <w:r>
        <w:rPr>
          <w:i/>
          <w:iCs/>
          <w:lang w:val="en-US"/>
        </w:rPr>
        <w:t>U</w:t>
      </w:r>
      <w:r>
        <w:rPr>
          <w:i/>
          <w:iCs/>
        </w:rPr>
        <w:t>’</w:t>
      </w:r>
      <w:r>
        <w:rPr>
          <w:i/>
          <w:iCs/>
          <w:vertAlign w:val="subscript"/>
        </w:rPr>
        <w:t>б</w:t>
      </w:r>
      <w:r>
        <w:rPr>
          <w:i/>
          <w:iCs/>
        </w:rPr>
        <w:t>−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1</w:t>
      </w:r>
      <w:r>
        <w:rPr>
          <w:i/>
          <w:iCs/>
        </w:rPr>
        <w:t>.</w:t>
      </w:r>
      <w:r>
        <w:t xml:space="preserve"> Если при изменении смещения колебание </w:t>
      </w:r>
      <w:r>
        <w:rPr>
          <w:i/>
          <w:iCs/>
        </w:rPr>
        <w:t>и</w:t>
      </w:r>
      <w:r>
        <w:rPr>
          <w:vertAlign w:val="subscript"/>
        </w:rPr>
        <w:t>1</w:t>
      </w:r>
      <w:r>
        <w:t xml:space="preserve"> не выходит за пределы линейного участка статической характеристики транзистора, амплитуда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 xml:space="preserve"> не меняется. Обычно в средней части статической модуляционной характеристики имеется линейный участок </w:t>
      </w:r>
      <w:r>
        <w:rPr>
          <w:i/>
          <w:iCs/>
          <w:lang w:val="en-US"/>
        </w:rPr>
        <w:t>MN</w:t>
      </w:r>
      <w:r>
        <w:rPr>
          <w:i/>
          <w:iCs/>
        </w:rPr>
        <w:t>.</w:t>
      </w:r>
      <w:r>
        <w:t xml:space="preserve"> Для получения неискаженной модуляции с наибольшей глубиной </w:t>
      </w:r>
      <w:r>
        <w:rPr>
          <w:i/>
          <w:iCs/>
          <w:lang w:val="en-US"/>
        </w:rPr>
        <w:t>m</w:t>
      </w:r>
      <w:r>
        <w:t xml:space="preserve"> нужно выбирать рабочую точку </w:t>
      </w:r>
      <w:r>
        <w:rPr>
          <w:lang w:val="en-US"/>
        </w:rPr>
        <w:t>A</w:t>
      </w:r>
      <w:r>
        <w:t xml:space="preserve"> на середине этого участка (смещение </w:t>
      </w:r>
      <w:r>
        <w:rPr>
          <w:i/>
          <w:iCs/>
          <w:lang w:val="en-US"/>
        </w:rPr>
        <w:t>E</w:t>
      </w:r>
      <w:r>
        <w:rPr>
          <w:i/>
          <w:iCs/>
          <w:vertAlign w:val="subscript"/>
        </w:rPr>
        <w:t>б0</w:t>
      </w:r>
      <w:r>
        <w:t xml:space="preserve">) и использовать низкочастотный модулирующий сигнал с такой амплитудой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2</w:t>
      </w:r>
      <w:r>
        <w:t xml:space="preserve">, при которой работа происходит в пределах участка </w:t>
      </w:r>
      <w:r>
        <w:rPr>
          <w:i/>
          <w:iCs/>
          <w:lang w:val="en-US"/>
        </w:rPr>
        <w:t>MN</w:t>
      </w:r>
      <w:r>
        <w:rPr>
          <w:i/>
          <w:iCs/>
        </w:rPr>
        <w:t>.</w:t>
      </w:r>
      <w:r>
        <w:t xml:space="preserve"> В этом случае изменение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 xml:space="preserve"> во времени (жирная линия на графике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rPr>
          <w:i/>
          <w:iCs/>
        </w:rPr>
        <w:t xml:space="preserve"> 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) не отличается от модулирующего сигнала, т. е. имеет место неискаженная модуляция. Если взять большую амплитуду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2</w:t>
      </w:r>
      <w:r>
        <w:t xml:space="preserve">, при которой в процессе работы будут использоваться нелинейные участки модуляционной характеристики, огибающие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 xml:space="preserve"> и </w:t>
      </w:r>
      <w:r>
        <w:rPr>
          <w:i/>
          <w:iCs/>
          <w:lang w:val="en-US"/>
        </w:rPr>
        <w:t>U</w:t>
      </w:r>
      <w:r>
        <w:rPr>
          <w:vertAlign w:val="subscript"/>
        </w:rPr>
        <w:t>вых</w:t>
      </w:r>
      <w:r>
        <w:t xml:space="preserve"> окажутся искаженными и притом тем сильнее, чем больше </w:t>
      </w:r>
      <w:r>
        <w:rPr>
          <w:i/>
          <w:iCs/>
          <w:lang w:val="en-US"/>
        </w:rPr>
        <w:t>U</w:t>
      </w:r>
      <w:r>
        <w:rPr>
          <w:i/>
          <w:iCs/>
          <w:vertAlign w:val="subscript"/>
        </w:rPr>
        <w:t>2</w:t>
      </w:r>
      <w:r>
        <w:rPr>
          <w:i/>
          <w:iCs/>
        </w:rPr>
        <w:t>.</w:t>
      </w:r>
      <w:r>
        <w:t xml:space="preserve">Для построения зависимости </w:t>
      </w:r>
      <w:proofErr w:type="spellStart"/>
      <w:r>
        <w:rPr>
          <w:i/>
          <w:iCs/>
          <w:lang w:val="en-US"/>
        </w:rPr>
        <w:t>i</w:t>
      </w:r>
      <w:proofErr w:type="spellEnd"/>
      <w:r>
        <w:rPr>
          <w:vertAlign w:val="subscript"/>
        </w:rPr>
        <w:t>к1</w:t>
      </w:r>
      <w:r>
        <w:t>(</w:t>
      </w:r>
      <w:r>
        <w:rPr>
          <w:lang w:val="en-US"/>
        </w:rPr>
        <w:t>t</w:t>
      </w:r>
      <w:r>
        <w:t xml:space="preserve">) и аналогичного графика </w:t>
      </w:r>
      <w:r>
        <w:rPr>
          <w:i/>
          <w:iCs/>
          <w:lang w:val="en-US"/>
        </w:rPr>
        <w:t>U</w:t>
      </w:r>
      <w:r>
        <w:rPr>
          <w:vertAlign w:val="subscript"/>
        </w:rPr>
        <w:t>вых</w:t>
      </w:r>
      <w:r>
        <w:t>(</w:t>
      </w:r>
      <w:r>
        <w:rPr>
          <w:lang w:val="en-US"/>
        </w:rPr>
        <w:t>t</w:t>
      </w:r>
      <w:r>
        <w:t xml:space="preserve">) достаточно симметрично ниже оси абсцисс провести вторую огибающую и промежуток между огибающими заполнить колебаниями частоты </w:t>
      </w:r>
      <w:r>
        <w:rPr>
          <w:i/>
          <w:iCs/>
          <w:lang w:val="en-US"/>
        </w:rPr>
        <w:t>ω</w:t>
      </w:r>
      <w:r>
        <w:rPr>
          <w:i/>
          <w:iCs/>
          <w:vertAlign w:val="subscript"/>
        </w:rPr>
        <w:t>0</w:t>
      </w:r>
      <w:r>
        <w:t xml:space="preserve"> (см. рисунок 5.5в). Коэффициент модуляции в соответствии с обозначениями рисунка 5.5 может быть подсчитан по статической модуляционной характеристике как </w:t>
      </w:r>
      <w:r>
        <w:rPr>
          <w:i/>
          <w:iCs/>
          <w:lang w:val="en-US"/>
        </w:rPr>
        <w:t>m</w:t>
      </w:r>
      <w:r>
        <w:rPr>
          <w:i/>
          <w:iCs/>
        </w:rPr>
        <w:t xml:space="preserve">=∆ </w:t>
      </w:r>
      <w:r>
        <w:rPr>
          <w:i/>
          <w:iCs/>
          <w:lang w:val="en-US"/>
        </w:rPr>
        <w:t>I</w:t>
      </w:r>
      <w:r>
        <w:rPr>
          <w:vertAlign w:val="subscript"/>
        </w:rPr>
        <w:t>к1</w:t>
      </w:r>
      <w:r>
        <w:t>/</w:t>
      </w:r>
      <w:r>
        <w:rPr>
          <w:i/>
          <w:iCs/>
        </w:rPr>
        <w:t xml:space="preserve"> </w:t>
      </w:r>
      <w:r>
        <w:rPr>
          <w:i/>
          <w:iCs/>
          <w:lang w:val="en-US"/>
        </w:rPr>
        <w:t>I</w:t>
      </w:r>
      <w:r>
        <w:rPr>
          <w:vertAlign w:val="subscript"/>
        </w:rPr>
        <w:t>к1ср</w:t>
      </w:r>
      <w:r>
        <w:t>.</w:t>
      </w:r>
    </w:p>
    <w:p w:rsidR="00E10DA9" w:rsidRDefault="00EE7E03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4ED"/>
    <w:rsid w:val="000A3B22"/>
    <w:rsid w:val="00916217"/>
    <w:rsid w:val="00C014ED"/>
    <w:rsid w:val="00EE7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E03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7E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E03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E03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7E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E0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97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02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07.gif" TargetMode="External"/><Relationship Id="rId2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15.gif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10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96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01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06.gif" TargetMode="External"/><Relationship Id="rId2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14.gif" TargetMode="Externa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05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09.gif" TargetMode="External"/><Relationship Id="rId2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18.jpg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95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00.gif" TargetMode="External"/><Relationship Id="rId2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13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94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04.gif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12.jpg" TargetMode="External"/><Relationship Id="rId2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17.gif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99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08.gif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98.jpg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03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11.gif" TargetMode="External"/><Relationship Id="rId2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116.gif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1106</Words>
  <Characters>6310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2020-09-24T19:17:00Z</dcterms:created>
  <dcterms:modified xsi:type="dcterms:W3CDTF">2020-09-24T19:18:00Z</dcterms:modified>
</cp:coreProperties>
</file>